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ED" w:rsidRDefault="00636176">
      <w:pPr>
        <w:spacing w:after="15" w:line="259" w:lineRule="auto"/>
        <w:ind w:left="240" w:right="1859" w:firstLine="0"/>
        <w:jc w:val="center"/>
        <w:rPr>
          <w:b/>
          <w:sz w:val="32"/>
        </w:rPr>
      </w:pPr>
      <w:r>
        <w:rPr>
          <w:noProof/>
        </w:rPr>
        <w:drawing>
          <wp:anchor distT="0" distB="0" distL="114300" distR="114300" simplePos="0" relativeHeight="251658240" behindDoc="0" locked="0" layoutInCell="1" allowOverlap="0" wp14:anchorId="52AF74F2" wp14:editId="30264AF8">
            <wp:simplePos x="0" y="0"/>
            <wp:positionH relativeFrom="column">
              <wp:posOffset>152400</wp:posOffset>
            </wp:positionH>
            <wp:positionV relativeFrom="paragraph">
              <wp:posOffset>-223042</wp:posOffset>
            </wp:positionV>
            <wp:extent cx="1008380" cy="1007110"/>
            <wp:effectExtent l="0" t="0" r="0" b="0"/>
            <wp:wrapSquare wrapText="bothSides"/>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5"/>
                    <a:stretch>
                      <a:fillRect/>
                    </a:stretch>
                  </pic:blipFill>
                  <pic:spPr>
                    <a:xfrm>
                      <a:off x="0" y="0"/>
                      <a:ext cx="1008380" cy="1007110"/>
                    </a:xfrm>
                    <a:prstGeom prst="rect">
                      <a:avLst/>
                    </a:prstGeom>
                  </pic:spPr>
                </pic:pic>
              </a:graphicData>
            </a:graphic>
          </wp:anchor>
        </w:drawing>
      </w:r>
      <w:r>
        <w:rPr>
          <w:b/>
          <w:sz w:val="32"/>
        </w:rPr>
        <w:t>CACHE COUNTY FIRE DISTRICT BOARD OF TRUSTEES</w:t>
      </w:r>
    </w:p>
    <w:p w:rsidR="00636176" w:rsidRDefault="00636176">
      <w:pPr>
        <w:spacing w:after="15" w:line="259" w:lineRule="auto"/>
        <w:ind w:left="240" w:right="1859" w:firstLine="0"/>
        <w:jc w:val="center"/>
      </w:pPr>
    </w:p>
    <w:p w:rsidR="00EB58ED" w:rsidRDefault="00636176">
      <w:pPr>
        <w:spacing w:after="0" w:line="259" w:lineRule="auto"/>
        <w:ind w:left="2410"/>
      </w:pPr>
      <w:r>
        <w:rPr>
          <w:sz w:val="22"/>
        </w:rPr>
        <w:t xml:space="preserve">Kathryn </w:t>
      </w:r>
      <w:proofErr w:type="spellStart"/>
      <w:r>
        <w:rPr>
          <w:sz w:val="22"/>
        </w:rPr>
        <w:t>Beus</w:t>
      </w:r>
      <w:proofErr w:type="spellEnd"/>
      <w:r>
        <w:rPr>
          <w:sz w:val="22"/>
        </w:rPr>
        <w:t xml:space="preserve"> – Board Chair                                                 George </w:t>
      </w:r>
      <w:proofErr w:type="spellStart"/>
      <w:r>
        <w:rPr>
          <w:sz w:val="22"/>
        </w:rPr>
        <w:t>Daines</w:t>
      </w:r>
      <w:proofErr w:type="spellEnd"/>
      <w:r>
        <w:rPr>
          <w:sz w:val="22"/>
        </w:rPr>
        <w:t xml:space="preserve"> – Trustee</w:t>
      </w:r>
    </w:p>
    <w:p w:rsidR="00EB58ED" w:rsidRDefault="00636176">
      <w:pPr>
        <w:spacing w:after="0" w:line="259" w:lineRule="auto"/>
        <w:ind w:left="2410"/>
      </w:pPr>
      <w:r>
        <w:rPr>
          <w:sz w:val="22"/>
        </w:rPr>
        <w:t>David Erickson – Trustee                                                       Steve Miller – Trustee</w:t>
      </w:r>
    </w:p>
    <w:p w:rsidR="00EB58ED" w:rsidRDefault="00636176">
      <w:pPr>
        <w:spacing w:after="0" w:line="259" w:lineRule="auto"/>
        <w:ind w:left="2410"/>
      </w:pPr>
      <w:r>
        <w:rPr>
          <w:sz w:val="22"/>
        </w:rPr>
        <w:t xml:space="preserve">Lyndsay Peterson – Trustee                                                 Aaron </w:t>
      </w:r>
      <w:proofErr w:type="spellStart"/>
      <w:r>
        <w:rPr>
          <w:sz w:val="22"/>
        </w:rPr>
        <w:t>Rudie</w:t>
      </w:r>
      <w:proofErr w:type="spellEnd"/>
      <w:r>
        <w:rPr>
          <w:sz w:val="22"/>
        </w:rPr>
        <w:t xml:space="preserve"> – Trustee</w:t>
      </w:r>
    </w:p>
    <w:p w:rsidR="00EB58ED" w:rsidRDefault="00636176">
      <w:pPr>
        <w:spacing w:after="0" w:line="259" w:lineRule="auto"/>
        <w:ind w:left="2410"/>
      </w:pPr>
      <w:r>
        <w:rPr>
          <w:sz w:val="22"/>
        </w:rPr>
        <w:t>Larry Jacobsen - Trustee</w:t>
      </w:r>
    </w:p>
    <w:p w:rsidR="00EB58ED" w:rsidRDefault="00636176">
      <w:pPr>
        <w:spacing w:after="847" w:line="259" w:lineRule="auto"/>
        <w:ind w:left="0" w:right="-53" w:firstLine="0"/>
      </w:pPr>
      <w:r>
        <w:rPr>
          <w:noProof/>
          <w:sz w:val="22"/>
        </w:rPr>
        <mc:AlternateContent>
          <mc:Choice Requires="wpg">
            <w:drawing>
              <wp:inline distT="0" distB="0" distL="0" distR="0">
                <wp:extent cx="6858000" cy="12700"/>
                <wp:effectExtent l="0" t="0" r="0" b="0"/>
                <wp:docPr id="2093" name="Group 2093"/>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3" name="Shape 13"/>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3" style="width:540pt;height:1pt;mso-position-horizontal-relative:char;mso-position-vertical-relative:line" coordsize="68580,127">
                <v:shape id="Shape 13" style="position:absolute;width:68580;height:0;left:0;top:0;" coordsize="6858000,0" path="m0,0l6858000,0">
                  <v:stroke weight="1pt" endcap="flat" joinstyle="miter" miterlimit="4" on="true" color="#000000"/>
                  <v:fill on="false" color="#000000" opacity="0"/>
                </v:shape>
              </v:group>
            </w:pict>
          </mc:Fallback>
        </mc:AlternateContent>
      </w:r>
    </w:p>
    <w:p w:rsidR="00EB58ED" w:rsidRDefault="00636176">
      <w:pPr>
        <w:pStyle w:val="Heading1"/>
        <w:ind w:left="351" w:right="3"/>
      </w:pPr>
      <w:r>
        <w:t>BOARD OF TRUSTEES MEETING</w:t>
      </w:r>
    </w:p>
    <w:p w:rsidR="00EB58ED" w:rsidRDefault="00636176">
      <w:pPr>
        <w:spacing w:after="15" w:line="265" w:lineRule="auto"/>
        <w:jc w:val="center"/>
      </w:pPr>
      <w:r>
        <w:t>March 26, 2026</w:t>
      </w:r>
    </w:p>
    <w:p w:rsidR="00EB58ED" w:rsidRDefault="00636176">
      <w:pPr>
        <w:spacing w:after="429" w:line="265" w:lineRule="auto"/>
        <w:jc w:val="center"/>
      </w:pPr>
      <w:r>
        <w:t>2:00pm</w:t>
      </w:r>
    </w:p>
    <w:p w:rsidR="00EB58ED" w:rsidRDefault="00636176">
      <w:pPr>
        <w:pStyle w:val="Heading1"/>
        <w:spacing w:after="699"/>
        <w:ind w:left="351"/>
      </w:pPr>
      <w:r>
        <w:t>Meeting Minutes</w:t>
      </w:r>
    </w:p>
    <w:p w:rsidR="00636176" w:rsidRDefault="00636176" w:rsidP="00636176">
      <w:pPr>
        <w:spacing w:after="378"/>
        <w:ind w:left="10"/>
      </w:pPr>
      <w:r>
        <w:t xml:space="preserve">The Cache County Fire District Board will meet Thursday, </w:t>
      </w:r>
      <w:r>
        <w:rPr>
          <w:b/>
        </w:rPr>
        <w:t>March 26, 2</w:t>
      </w:r>
      <w:r>
        <w:rPr>
          <w:b/>
        </w:rPr>
        <w:t>026,</w:t>
      </w:r>
      <w:r>
        <w:t xml:space="preserve"> commencing at </w:t>
      </w:r>
      <w:r>
        <w:rPr>
          <w:b/>
        </w:rPr>
        <w:t xml:space="preserve">2:00 p.m. </w:t>
      </w:r>
      <w:r>
        <w:t xml:space="preserve">in the </w:t>
      </w:r>
      <w:r>
        <w:rPr>
          <w:b/>
        </w:rPr>
        <w:t xml:space="preserve">Cache County Historic Courthouse, Council Conference Room, </w:t>
      </w:r>
      <w:r>
        <w:t>199 North Main Logan, Utah 84321.</w:t>
      </w:r>
    </w:p>
    <w:p w:rsidR="00EB58ED" w:rsidRDefault="00636176">
      <w:pPr>
        <w:tabs>
          <w:tab w:val="center" w:pos="436"/>
          <w:tab w:val="center" w:pos="1554"/>
        </w:tabs>
        <w:spacing w:after="348" w:line="265" w:lineRule="auto"/>
        <w:ind w:left="0" w:firstLine="0"/>
      </w:pPr>
      <w:r>
        <w:rPr>
          <w:sz w:val="22"/>
        </w:rPr>
        <w:tab/>
      </w:r>
      <w:r>
        <w:t>1.</w:t>
      </w:r>
      <w:r>
        <w:tab/>
      </w:r>
      <w:r>
        <w:rPr>
          <w:b/>
        </w:rPr>
        <w:t>CALL TO ORDER</w:t>
      </w:r>
      <w:r>
        <w:rPr>
          <w:b/>
          <w:vertAlign w:val="subscript"/>
        </w:rPr>
        <w:t>:</w:t>
      </w:r>
    </w:p>
    <w:p w:rsidR="00EB58ED" w:rsidRDefault="00636176">
      <w:pPr>
        <w:pStyle w:val="Heading2"/>
        <w:tabs>
          <w:tab w:val="center" w:pos="436"/>
          <w:tab w:val="center" w:pos="1733"/>
        </w:tabs>
        <w:ind w:left="0" w:firstLine="0"/>
      </w:pPr>
      <w:r>
        <w:rPr>
          <w:b w:val="0"/>
          <w:sz w:val="22"/>
        </w:rPr>
        <w:tab/>
      </w:r>
      <w:r>
        <w:rPr>
          <w:b w:val="0"/>
        </w:rPr>
        <w:t>2.</w:t>
      </w:r>
      <w:r>
        <w:rPr>
          <w:b w:val="0"/>
        </w:rPr>
        <w:tab/>
      </w:r>
      <w:r>
        <w:t xml:space="preserve">ITEMS OF BUSINESS </w:t>
      </w:r>
    </w:p>
    <w:p w:rsidR="00EB58ED" w:rsidRDefault="00636176">
      <w:pPr>
        <w:numPr>
          <w:ilvl w:val="0"/>
          <w:numId w:val="1"/>
        </w:numPr>
        <w:spacing w:after="60"/>
        <w:ind w:hanging="360"/>
      </w:pPr>
      <w:r>
        <w:t xml:space="preserve">Approval of Agenda –  March 26, 2026 </w:t>
      </w:r>
    </w:p>
    <w:p w:rsidR="00EB58ED" w:rsidRDefault="00636176">
      <w:pPr>
        <w:numPr>
          <w:ilvl w:val="0"/>
          <w:numId w:val="1"/>
        </w:numPr>
        <w:ind w:hanging="360"/>
      </w:pPr>
      <w:r>
        <w:t>Approval of Minutes –  February 12, 2025</w:t>
      </w:r>
    </w:p>
    <w:p w:rsidR="00EB58ED" w:rsidRDefault="00636176">
      <w:pPr>
        <w:spacing w:after="470"/>
        <w:ind w:left="1076"/>
      </w:pPr>
      <w:r>
        <w:t xml:space="preserve">-Both the agenda and minutes were motioned to approve from Aaron </w:t>
      </w:r>
      <w:proofErr w:type="spellStart"/>
      <w:r>
        <w:t>Rudie</w:t>
      </w:r>
      <w:proofErr w:type="spellEnd"/>
      <w:r>
        <w:t xml:space="preserve"> and 2</w:t>
      </w:r>
      <w:r>
        <w:rPr>
          <w:sz w:val="18"/>
          <w:vertAlign w:val="superscript"/>
        </w:rPr>
        <w:t>nd</w:t>
      </w:r>
      <w:r>
        <w:t xml:space="preserve"> by Lyndsay Peterson, they were both unanimously approved</w:t>
      </w:r>
      <w:r>
        <w:rPr>
          <w:sz w:val="22"/>
        </w:rPr>
        <w:t>.</w:t>
      </w:r>
    </w:p>
    <w:p w:rsidR="00EB58ED" w:rsidRDefault="00636176">
      <w:pPr>
        <w:pStyle w:val="Heading2"/>
        <w:tabs>
          <w:tab w:val="center" w:pos="437"/>
          <w:tab w:val="center" w:pos="2499"/>
        </w:tabs>
        <w:ind w:left="0" w:firstLine="0"/>
      </w:pPr>
      <w:r>
        <w:rPr>
          <w:b w:val="0"/>
          <w:sz w:val="22"/>
        </w:rPr>
        <w:tab/>
      </w:r>
      <w:r>
        <w:rPr>
          <w:b w:val="0"/>
        </w:rPr>
        <w:t>3.</w:t>
      </w:r>
      <w:r>
        <w:rPr>
          <w:b w:val="0"/>
        </w:rPr>
        <w:tab/>
      </w:r>
      <w:r>
        <w:t>OATH OF OFFICE FOR ALL TRUSTEES</w:t>
      </w:r>
    </w:p>
    <w:p w:rsidR="00EB58ED" w:rsidRDefault="00636176">
      <w:pPr>
        <w:spacing w:after="299"/>
        <w:ind w:left="744"/>
      </w:pPr>
      <w:r>
        <w:t>-Fatima Avila, Legal Secretary Attorney’s Office, administered the Oath of Office t</w:t>
      </w:r>
      <w:r>
        <w:t xml:space="preserve">o all seven members of the Board of Trustees: </w:t>
      </w:r>
      <w:proofErr w:type="spellStart"/>
      <w:r>
        <w:t>Kathyn</w:t>
      </w:r>
      <w:proofErr w:type="spellEnd"/>
      <w:r>
        <w:t xml:space="preserve"> </w:t>
      </w:r>
      <w:proofErr w:type="spellStart"/>
      <w:r>
        <w:t>Beus</w:t>
      </w:r>
      <w:proofErr w:type="spellEnd"/>
      <w:r>
        <w:t xml:space="preserve">, David Erickson, Lyndsay Peterson, Larry Jacobsen, George </w:t>
      </w:r>
      <w:proofErr w:type="spellStart"/>
      <w:r>
        <w:t>Daines</w:t>
      </w:r>
      <w:proofErr w:type="spellEnd"/>
      <w:r>
        <w:t xml:space="preserve">, Steve Miller, and Aaron </w:t>
      </w:r>
      <w:proofErr w:type="spellStart"/>
      <w:r>
        <w:t>Rudie</w:t>
      </w:r>
      <w:proofErr w:type="spellEnd"/>
      <w:r>
        <w:t xml:space="preserve">.  </w:t>
      </w:r>
      <w:r>
        <w:t xml:space="preserve">  </w:t>
      </w:r>
    </w:p>
    <w:p w:rsidR="00EB58ED" w:rsidRDefault="00636176">
      <w:pPr>
        <w:pStyle w:val="Heading2"/>
        <w:tabs>
          <w:tab w:val="center" w:pos="437"/>
          <w:tab w:val="center" w:pos="2204"/>
        </w:tabs>
        <w:ind w:left="0" w:firstLine="0"/>
      </w:pPr>
      <w:r>
        <w:rPr>
          <w:b w:val="0"/>
          <w:sz w:val="22"/>
        </w:rPr>
        <w:tab/>
      </w:r>
      <w:r>
        <w:rPr>
          <w:b w:val="0"/>
        </w:rPr>
        <w:t>4.</w:t>
      </w:r>
      <w:r>
        <w:rPr>
          <w:b w:val="0"/>
        </w:rPr>
        <w:tab/>
      </w:r>
      <w:r>
        <w:t>NEW ITEMS FOR DISCUSSION</w:t>
      </w:r>
    </w:p>
    <w:p w:rsidR="00EB58ED" w:rsidRDefault="00636176">
      <w:pPr>
        <w:ind w:left="744"/>
      </w:pPr>
      <w:r>
        <w:t xml:space="preserve">-Executive George </w:t>
      </w:r>
      <w:proofErr w:type="spellStart"/>
      <w:r>
        <w:t>Daines</w:t>
      </w:r>
      <w:proofErr w:type="spellEnd"/>
      <w:r>
        <w:t xml:space="preserve"> presented and introduced a proposal for a voucher system to replace the current fire district, aiming to address double taxation and maintain local contro</w:t>
      </w:r>
      <w:r>
        <w:t xml:space="preserve">l. The system would levy a baseline mill rate, distribute funds as vouchers to cities, and allow cities to decide their fire and EMS services. </w:t>
      </w:r>
    </w:p>
    <w:p w:rsidR="00EB58ED" w:rsidRDefault="00636176">
      <w:pPr>
        <w:spacing w:after="283"/>
        <w:ind w:left="744"/>
      </w:pPr>
      <w:r>
        <w:t>A lengthy conversation ensued that focused on some of the specifics of the plan as it was outlined in the memo a</w:t>
      </w:r>
      <w:r>
        <w:t>nd what the next steps might be in examining this option further. The most pressing of next steps centered on conducting an educational meeting for all of the effected mayors where the proposal would be reviewed and a discussion of the mill levy rates coul</w:t>
      </w:r>
      <w:r>
        <w:t xml:space="preserve">d be conducted. This meeting is tentatively scheduled for </w:t>
      </w:r>
      <w:r>
        <w:rPr>
          <w:b/>
        </w:rPr>
        <w:t>April 6, 2026 @ 4:00 PM</w:t>
      </w:r>
    </w:p>
    <w:p w:rsidR="00EB58ED" w:rsidRDefault="00636176">
      <w:pPr>
        <w:spacing w:after="0" w:line="259" w:lineRule="auto"/>
        <w:ind w:left="749" w:firstLine="0"/>
      </w:pPr>
      <w:r>
        <w:t>-</w:t>
      </w:r>
      <w:r>
        <w:rPr>
          <w:u w:val="single" w:color="000000"/>
        </w:rPr>
        <w:t>A copy of</w:t>
      </w:r>
      <w:bookmarkStart w:id="0" w:name="_GoBack"/>
      <w:bookmarkEnd w:id="0"/>
      <w:r>
        <w:rPr>
          <w:u w:val="single" w:color="000000"/>
        </w:rPr>
        <w:t xml:space="preserve"> the proposal memo is included with these minutes</w:t>
      </w:r>
      <w:r>
        <w:t>.</w:t>
      </w:r>
    </w:p>
    <w:p w:rsidR="00636176" w:rsidRDefault="00636176">
      <w:pPr>
        <w:pStyle w:val="Heading2"/>
        <w:tabs>
          <w:tab w:val="center" w:pos="437"/>
          <w:tab w:val="center" w:pos="2114"/>
        </w:tabs>
        <w:ind w:left="0" w:firstLine="0"/>
        <w:rPr>
          <w:b w:val="0"/>
          <w:sz w:val="22"/>
        </w:rPr>
      </w:pPr>
      <w:r>
        <w:rPr>
          <w:b w:val="0"/>
          <w:sz w:val="22"/>
        </w:rPr>
        <w:tab/>
      </w:r>
    </w:p>
    <w:p w:rsidR="00EB58ED" w:rsidRDefault="00636176">
      <w:pPr>
        <w:pStyle w:val="Heading2"/>
        <w:tabs>
          <w:tab w:val="center" w:pos="437"/>
          <w:tab w:val="center" w:pos="2114"/>
        </w:tabs>
        <w:ind w:left="0" w:firstLine="0"/>
      </w:pPr>
      <w:r>
        <w:rPr>
          <w:b w:val="0"/>
          <w:sz w:val="22"/>
        </w:rPr>
        <w:tab/>
      </w:r>
      <w:r>
        <w:rPr>
          <w:b w:val="0"/>
        </w:rPr>
        <w:t>5.</w:t>
      </w:r>
      <w:r>
        <w:rPr>
          <w:b w:val="0"/>
        </w:rPr>
        <w:tab/>
      </w:r>
      <w:r>
        <w:t>FINANCIAL SURVEY UPDATE</w:t>
      </w:r>
    </w:p>
    <w:p w:rsidR="00EB58ED" w:rsidRDefault="00636176">
      <w:pPr>
        <w:spacing w:after="299"/>
        <w:ind w:left="744"/>
      </w:pPr>
      <w:r>
        <w:t xml:space="preserve">-Chief George inquired if everyone had received the email he sent regarding data submission.  If the city has a fire department, the email was sent directly to the chief of the department. Still waiting for cities of Amalga, Clarkston, Cornish, Hyde Park, </w:t>
      </w:r>
      <w:r>
        <w:t xml:space="preserve">Mendon, Millville, Providence, and Trenton to submit their data. Once all the data is collected from the cities and departments, we will be able to work on improving accuracy and provide a report within a month.  The data can be shared with other staff of </w:t>
      </w:r>
      <w:r>
        <w:t>the cities involved.</w:t>
      </w:r>
    </w:p>
    <w:p w:rsidR="00EB58ED" w:rsidRDefault="00636176">
      <w:pPr>
        <w:pStyle w:val="Heading2"/>
        <w:tabs>
          <w:tab w:val="center" w:pos="437"/>
          <w:tab w:val="center" w:pos="1759"/>
        </w:tabs>
        <w:ind w:left="0" w:firstLine="0"/>
      </w:pPr>
      <w:r>
        <w:rPr>
          <w:b w:val="0"/>
          <w:sz w:val="22"/>
        </w:rPr>
        <w:tab/>
      </w:r>
      <w:r>
        <w:rPr>
          <w:b w:val="0"/>
        </w:rPr>
        <w:t>6.</w:t>
      </w:r>
      <w:r>
        <w:rPr>
          <w:b w:val="0"/>
        </w:rPr>
        <w:tab/>
      </w:r>
      <w:r>
        <w:t>1201 STUDY UPDATE</w:t>
      </w:r>
    </w:p>
    <w:p w:rsidR="00EB58ED" w:rsidRDefault="00636176">
      <w:pPr>
        <w:spacing w:after="329"/>
        <w:ind w:left="744"/>
      </w:pPr>
      <w:r>
        <w:t>-</w:t>
      </w:r>
      <w:r>
        <w:rPr>
          <w:sz w:val="22"/>
        </w:rPr>
        <w:t xml:space="preserve"> Conversation is ongoing with </w:t>
      </w:r>
      <w:r>
        <w:t>Ironwood Strategic Solutions. They are in the process of completing the virtual follow up visits and will be sending out draft copies of individual department reports. Cache County h</w:t>
      </w:r>
      <w:r>
        <w:t>as received their draft report and are in the process of reviewing it. Ironwood thought it would be helpful to complete one report to use as a reference for other entities going through this process and chose Cache County’s as the first to be completed. Th</w:t>
      </w:r>
      <w:r>
        <w:t xml:space="preserve">e speed at which this project moves is entirely dependent on how quickly the surveyed departments provide the documentation and feedback necessary to complete the reports. The original service agreement set a tentative completion date for this part of the </w:t>
      </w:r>
      <w:r>
        <w:t>three-step survey at April 30, 2026. This goal is still achievable but very dependent on local resources completing their parts of the process</w:t>
      </w:r>
      <w:proofErr w:type="gramStart"/>
      <w:r>
        <w:t>. ,</w:t>
      </w:r>
      <w:proofErr w:type="gramEnd"/>
      <w:r>
        <w:t xml:space="preserve"> </w:t>
      </w:r>
    </w:p>
    <w:p w:rsidR="00EB58ED" w:rsidRDefault="00636176">
      <w:pPr>
        <w:pStyle w:val="Heading2"/>
        <w:tabs>
          <w:tab w:val="center" w:pos="437"/>
          <w:tab w:val="center" w:pos="4828"/>
        </w:tabs>
        <w:ind w:left="0" w:firstLine="0"/>
      </w:pPr>
      <w:r>
        <w:rPr>
          <w:b w:val="0"/>
          <w:sz w:val="22"/>
        </w:rPr>
        <w:tab/>
      </w:r>
      <w:r>
        <w:rPr>
          <w:b w:val="0"/>
        </w:rPr>
        <w:t>7.</w:t>
      </w:r>
      <w:r>
        <w:rPr>
          <w:b w:val="0"/>
        </w:rPr>
        <w:tab/>
      </w:r>
      <w:r>
        <w:t>CAPTIAL NEEDS/INFRASTRUCTURE ASSESSMENT (TIMELINE AND PROJECT STATUS)</w:t>
      </w:r>
    </w:p>
    <w:p w:rsidR="00EB58ED" w:rsidRDefault="00636176">
      <w:pPr>
        <w:ind w:left="744"/>
      </w:pPr>
      <w:r>
        <w:t xml:space="preserve">Ironwood has submitted a draft service agreement for the Capital Needs/Infrastructure Assessment. </w:t>
      </w:r>
    </w:p>
    <w:p w:rsidR="00EB58ED" w:rsidRDefault="00636176">
      <w:pPr>
        <w:spacing w:after="283"/>
        <w:ind w:left="744"/>
      </w:pPr>
      <w:r>
        <w:t>The agreement outlines a projected start in mid-July, with site visits taking place the first two weeks of August. The agreement has not been signed yet. Chi</w:t>
      </w:r>
      <w:r>
        <w:t xml:space="preserve">ef George asked if completing this part of the assessment was still something the Board was interested in doing.  Chief George indicated that Ironwood has been able to adjust the cost of this assessment some due to information gathered during the previous </w:t>
      </w:r>
      <w:r>
        <w:t>round of site visits. The time commitment for this part of the larger assessment should be no more than three hours per department.  This includes some pre-site visit work—such as submitting records—as well as the site visits themselves, which are expected</w:t>
      </w:r>
      <w:r>
        <w:t xml:space="preserve"> to take between 30 minutes to an hour per agency. They anticipate completing all site visits over the course of a single weekend, likely Friday and Saturday.</w:t>
      </w:r>
    </w:p>
    <w:p w:rsidR="00EB58ED" w:rsidRDefault="00636176">
      <w:pPr>
        <w:ind w:left="744"/>
      </w:pPr>
      <w:r>
        <w:t xml:space="preserve">Trustee </w:t>
      </w:r>
      <w:proofErr w:type="spellStart"/>
      <w:r>
        <w:t>Rudie</w:t>
      </w:r>
      <w:proofErr w:type="spellEnd"/>
      <w:r>
        <w:t xml:space="preserve"> asked about the content and structure of the larger assessment and Chief George res</w:t>
      </w:r>
      <w:r>
        <w:t>ponded indicating that, the initial study focused on evaluating the organizational structure of each department. It examined how well they comply with national consensus standards for publicly funded organizations and provided feedback on key areas such as</w:t>
      </w:r>
      <w:r>
        <w:t xml:space="preserve"> legal authority to operate, accounting and budgeting practices, and the types of hazards being addressed. It also reviewed whether departments are engaged in community risk reduction efforts and assessed what programs are currently in place and how effect</w:t>
      </w:r>
      <w:r>
        <w:t>ively they are being implemented. This portion of the study did not include an analysis of response metrics.</w:t>
      </w:r>
    </w:p>
    <w:p w:rsidR="00EB58ED" w:rsidRDefault="00636176">
      <w:pPr>
        <w:ind w:left="744"/>
      </w:pPr>
      <w:r>
        <w:t>The next component, the infrastructure and capital needs assessment, evaluates major assets such as apparatus and facilities. It looks at factors i</w:t>
      </w:r>
      <w:r>
        <w:t>ncluding age, current condition, and projected remaining lifespan, as well as estimated replacement costs. It also identifies any immediate or critical needs. For example, if a department has an aging frontline fire apparatus that is unreliable, that would</w:t>
      </w:r>
      <w:r>
        <w:t xml:space="preserve"> be flagged as a significant issue, along with its potential impact on the broader system. This assessment also includes fire stations and similar infrastructure.</w:t>
      </w:r>
    </w:p>
    <w:p w:rsidR="00EB58ED" w:rsidRDefault="00636176">
      <w:pPr>
        <w:ind w:left="744"/>
      </w:pPr>
      <w:r>
        <w:t xml:space="preserve">The final component is the community risk assessment and standards of coverage analysis. The </w:t>
      </w:r>
      <w:r>
        <w:t>community risk assessment identifies and prioritizes hazards across the area using response data, including call frequency and the populations affected. The standards of coverage portion incorporate significant community input, bringing together stakeholde</w:t>
      </w:r>
      <w:r>
        <w:t>rs from both the public and private sectors to define expectations for service levels and performance metrics.</w:t>
      </w:r>
    </w:p>
    <w:p w:rsidR="00EB58ED" w:rsidRDefault="00636176">
      <w:pPr>
        <w:ind w:left="744"/>
      </w:pPr>
      <w:r>
        <w:t>Using this input, the analysis develops multiple service-level options rather than a single prescribed solution. Each option outlines potential c</w:t>
      </w:r>
      <w:r>
        <w:t xml:space="preserve">ost implications and service outcomes, allowing </w:t>
      </w:r>
      <w:proofErr w:type="spellStart"/>
      <w:r>
        <w:t>decisionmakers</w:t>
      </w:r>
      <w:proofErr w:type="spellEnd"/>
      <w:r>
        <w:t xml:space="preserve"> to evaluate trade-offs. These options are largely shaped by public outreach sessions, which are typically limited to around 25 participants per session, with multiple sessions conducted as part</w:t>
      </w:r>
      <w:r>
        <w:t xml:space="preserve"> of the initial planning phase.</w:t>
      </w:r>
    </w:p>
    <w:p w:rsidR="00EB58ED" w:rsidRDefault="00636176">
      <w:pPr>
        <w:spacing w:after="330"/>
        <w:ind w:left="744"/>
      </w:pPr>
      <w:r>
        <w:t>In terms of benchmarks, the standards of coverage analysis references national standards such as National Fire Protection Association guidelines, specifically NFPA 1710 and NFPA 1720. These serve as baseline comparisons; how</w:t>
      </w:r>
      <w:r>
        <w:t>ever, the final recommendations are ultimately guided by community expectations. If the community chooses to align fully with these standards, that becomes the target. Alternatively, if they are comfortable with a different level of service and the associa</w:t>
      </w:r>
      <w:r>
        <w:t>ted risk, the model can be adjusted accordingly.</w:t>
      </w:r>
    </w:p>
    <w:p w:rsidR="00EB58ED" w:rsidRDefault="00636176">
      <w:pPr>
        <w:tabs>
          <w:tab w:val="center" w:pos="436"/>
          <w:tab w:val="center" w:pos="2785"/>
        </w:tabs>
        <w:spacing w:after="358"/>
        <w:ind w:left="0" w:firstLine="0"/>
      </w:pPr>
      <w:r>
        <w:rPr>
          <w:sz w:val="22"/>
        </w:rPr>
        <w:tab/>
      </w:r>
      <w:r>
        <w:t>8.</w:t>
      </w:r>
      <w:r>
        <w:tab/>
      </w:r>
      <w:r>
        <w:rPr>
          <w:b/>
        </w:rPr>
        <w:t xml:space="preserve">NEXT MEETING </w:t>
      </w:r>
      <w:r>
        <w:t>– April 23, 2026 – 2:00pm</w:t>
      </w:r>
    </w:p>
    <w:p w:rsidR="00EB58ED" w:rsidRDefault="00636176">
      <w:pPr>
        <w:pStyle w:val="Heading2"/>
        <w:tabs>
          <w:tab w:val="center" w:pos="436"/>
          <w:tab w:val="center" w:pos="1766"/>
        </w:tabs>
        <w:spacing w:after="493"/>
        <w:ind w:left="0" w:firstLine="0"/>
      </w:pPr>
      <w:r>
        <w:rPr>
          <w:b w:val="0"/>
          <w:sz w:val="22"/>
        </w:rPr>
        <w:tab/>
      </w:r>
      <w:r>
        <w:rPr>
          <w:b w:val="0"/>
        </w:rPr>
        <w:t>9.</w:t>
      </w:r>
      <w:r>
        <w:rPr>
          <w:b w:val="0"/>
        </w:rPr>
        <w:tab/>
      </w:r>
      <w:r>
        <w:t>ADJOURN – 3:55 PM</w:t>
      </w:r>
    </w:p>
    <w:p w:rsidR="00EB58ED" w:rsidRDefault="00636176">
      <w:pPr>
        <w:spacing w:after="0" w:line="240" w:lineRule="auto"/>
        <w:ind w:left="746" w:firstLine="0"/>
      </w:pPr>
      <w:r>
        <w:rPr>
          <w:sz w:val="20"/>
        </w:rPr>
        <w:t>In compliance with the Americans with Disabilities Act, individuals needing special accommodations (including auxiliary communicative aids and</w:t>
      </w:r>
      <w:r>
        <w:rPr>
          <w:sz w:val="20"/>
        </w:rPr>
        <w:t xml:space="preserve"> services) during this meeting should notify </w:t>
      </w:r>
      <w:proofErr w:type="spellStart"/>
      <w:r>
        <w:rPr>
          <w:sz w:val="20"/>
        </w:rPr>
        <w:t>Janeen</w:t>
      </w:r>
      <w:proofErr w:type="spellEnd"/>
      <w:r>
        <w:rPr>
          <w:sz w:val="20"/>
        </w:rPr>
        <w:t xml:space="preserve"> Allen, at 755-1850 at least three working days prior to the meeting.</w:t>
      </w:r>
    </w:p>
    <w:sectPr w:rsidR="00EB58ED">
      <w:pgSz w:w="12240" w:h="15840"/>
      <w:pgMar w:top="773" w:right="773" w:bottom="73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E0547"/>
    <w:multiLevelType w:val="hybridMultilevel"/>
    <w:tmpl w:val="5D84E72C"/>
    <w:lvl w:ilvl="0" w:tplc="04EAC208">
      <w:start w:val="1"/>
      <w:numFmt w:val="upp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64887C">
      <w:start w:val="1"/>
      <w:numFmt w:val="lowerLetter"/>
      <w:lvlText w:val="%2"/>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609F00">
      <w:start w:val="1"/>
      <w:numFmt w:val="lowerRoman"/>
      <w:lvlText w:val="%3"/>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E07DD2">
      <w:start w:val="1"/>
      <w:numFmt w:val="decimal"/>
      <w:lvlText w:val="%4"/>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FA8632">
      <w:start w:val="1"/>
      <w:numFmt w:val="lowerLetter"/>
      <w:lvlText w:val="%5"/>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265A70">
      <w:start w:val="1"/>
      <w:numFmt w:val="lowerRoman"/>
      <w:lvlText w:val="%6"/>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50CD0A">
      <w:start w:val="1"/>
      <w:numFmt w:val="decimal"/>
      <w:lvlText w:val="%7"/>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24834E">
      <w:start w:val="1"/>
      <w:numFmt w:val="lowerLetter"/>
      <w:lvlText w:val="%8"/>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78FE10">
      <w:start w:val="1"/>
      <w:numFmt w:val="lowerRoman"/>
      <w:lvlText w:val="%9"/>
      <w:lvlJc w:val="left"/>
      <w:pPr>
        <w:ind w:left="7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ED"/>
    <w:rsid w:val="00636176"/>
    <w:rsid w:val="00EB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CD6B"/>
  <w15:docId w15:val="{EF922D42-F7F1-49AF-9E34-FAA568BD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348"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39" w:line="265" w:lineRule="auto"/>
      <w:ind w:left="348"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65" w:lineRule="auto"/>
      <w:ind w:left="355"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cp:lastModifiedBy>Tara Taylor</cp:lastModifiedBy>
  <cp:revision>2</cp:revision>
  <dcterms:created xsi:type="dcterms:W3CDTF">2026-03-31T18:40:00Z</dcterms:created>
  <dcterms:modified xsi:type="dcterms:W3CDTF">2026-03-31T18:40:00Z</dcterms:modified>
</cp:coreProperties>
</file>